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741" w:rsidRDefault="00E328C9">
      <w:pPr>
        <w:pStyle w:val="10"/>
        <w:tabs>
          <w:tab w:val="left" w:pos="709"/>
        </w:tabs>
        <w:spacing w:after="0"/>
        <w:jc w:val="center"/>
        <w:rPr>
          <w:b/>
          <w:bCs/>
          <w:kern w:val="0"/>
          <w:sz w:val="28"/>
          <w:szCs w:val="28"/>
          <w:lang w:eastAsia="en-US" w:bidi="ar-SA"/>
        </w:rPr>
      </w:pPr>
      <w:bookmarkStart w:id="0" w:name="_GoBack"/>
      <w:bookmarkEnd w:id="0"/>
      <w:r>
        <w:rPr>
          <w:b/>
          <w:bCs/>
          <w:kern w:val="0"/>
          <w:sz w:val="28"/>
          <w:szCs w:val="28"/>
          <w:lang w:eastAsia="en-US" w:bidi="ar-SA"/>
        </w:rPr>
        <w:t xml:space="preserve">Тезисы на «Правительственный час» </w:t>
      </w:r>
    </w:p>
    <w:p w:rsidR="004C6741" w:rsidRDefault="00E328C9">
      <w:pPr>
        <w:pStyle w:val="10"/>
        <w:tabs>
          <w:tab w:val="left" w:pos="709"/>
        </w:tabs>
        <w:spacing w:after="0"/>
        <w:jc w:val="center"/>
        <w:rPr>
          <w:b/>
          <w:bCs/>
          <w:kern w:val="0"/>
          <w:sz w:val="28"/>
          <w:szCs w:val="28"/>
          <w:lang w:eastAsia="en-US" w:bidi="ar-SA"/>
        </w:rPr>
      </w:pPr>
      <w:r>
        <w:rPr>
          <w:b/>
          <w:bCs/>
          <w:kern w:val="0"/>
          <w:sz w:val="28"/>
          <w:szCs w:val="28"/>
          <w:lang w:eastAsia="en-US" w:bidi="ar-SA"/>
        </w:rPr>
        <w:t>«О развитии туристской индустрии в Ханты-Мансийском автономном округе — Югре»</w:t>
      </w:r>
    </w:p>
    <w:p w:rsidR="004C6741" w:rsidRDefault="00E328C9">
      <w:pPr>
        <w:pStyle w:val="10"/>
        <w:tabs>
          <w:tab w:val="left" w:pos="709"/>
        </w:tabs>
        <w:spacing w:after="0"/>
        <w:jc w:val="center"/>
        <w:rPr>
          <w:b/>
          <w:bCs/>
          <w:kern w:val="0"/>
          <w:sz w:val="28"/>
          <w:szCs w:val="28"/>
          <w:lang w:eastAsia="en-US" w:bidi="ar-SA"/>
        </w:rPr>
      </w:pPr>
      <w:r>
        <w:rPr>
          <w:b/>
          <w:bCs/>
          <w:kern w:val="0"/>
          <w:sz w:val="28"/>
          <w:szCs w:val="28"/>
          <w:lang w:eastAsia="en-US" w:bidi="ar-SA"/>
        </w:rPr>
        <w:t>29 марта 2023 года</w:t>
      </w:r>
    </w:p>
    <w:p w:rsidR="004C6741" w:rsidRDefault="004C6741">
      <w:pPr>
        <w:pStyle w:val="10"/>
        <w:tabs>
          <w:tab w:val="left" w:pos="709"/>
        </w:tabs>
        <w:spacing w:after="0"/>
        <w:jc w:val="both"/>
        <w:rPr>
          <w:b/>
          <w:bCs/>
          <w:i/>
          <w:sz w:val="28"/>
          <w:u w:val="single"/>
        </w:rPr>
      </w:pPr>
    </w:p>
    <w:p w:rsidR="004C6741" w:rsidRDefault="00E328C9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2022 году численность размещенных в коллективных средствах размещения составила 567,5 тыс. человек (в 2021 году – 477 тыс. человек, увеличение на 19%). </w:t>
      </w:r>
    </w:p>
    <w:p w:rsidR="004C6741" w:rsidRDefault="00E328C9">
      <w:pPr>
        <w:spacing w:line="276" w:lineRule="auto"/>
        <w:ind w:firstLine="709"/>
        <w:contextualSpacing/>
        <w:jc w:val="both"/>
      </w:pPr>
      <w:r>
        <w:rPr>
          <w:rFonts w:ascii="Times New Roman" w:eastAsia="Calibri" w:hAnsi="Times New Roman" w:cstheme="minorBidi"/>
          <w:spacing w:val="6"/>
          <w:kern w:val="0"/>
          <w:sz w:val="28"/>
          <w:szCs w:val="28"/>
          <w:lang w:eastAsia="en-US" w:bidi="ar-SA"/>
        </w:rPr>
        <w:t>Объем платных туристических услуг</w:t>
      </w:r>
      <w:r>
        <w:rPr>
          <w:rFonts w:ascii="Times New Roman" w:eastAsia="Calibri" w:hAnsi="Times New Roman"/>
          <w:color w:val="000000"/>
          <w:spacing w:val="6"/>
          <w:kern w:val="0"/>
          <w:sz w:val="28"/>
          <w:szCs w:val="28"/>
          <w:lang w:eastAsia="en-US" w:bidi="ar-SA"/>
        </w:rPr>
        <w:t xml:space="preserve"> оказанных населению в 2022 году (</w:t>
      </w:r>
      <w:r>
        <w:rPr>
          <w:rFonts w:ascii="Times New Roman" w:eastAsia="Calibri" w:hAnsi="Times New Roman"/>
          <w:i/>
          <w:color w:val="000000"/>
          <w:spacing w:val="6"/>
          <w:kern w:val="0"/>
          <w:sz w:val="28"/>
          <w:szCs w:val="28"/>
          <w:lang w:eastAsia="en-US" w:bidi="ar-SA"/>
        </w:rPr>
        <w:t>гостиницами и аналогичными средствами размещения, санаторно-курортными организациями, туристическими агентствами, туроператорами</w:t>
      </w:r>
      <w:r>
        <w:rPr>
          <w:rFonts w:ascii="Times New Roman" w:eastAsia="Calibri" w:hAnsi="Times New Roman"/>
          <w:color w:val="000000"/>
          <w:spacing w:val="6"/>
          <w:kern w:val="0"/>
          <w:sz w:val="28"/>
          <w:szCs w:val="28"/>
          <w:lang w:eastAsia="en-US" w:bidi="ar-SA"/>
        </w:rPr>
        <w:t xml:space="preserve">) составил 5 540,5 млн. руб. (в 2021 году – 5 185,7 млн. руб.) </w:t>
      </w:r>
    </w:p>
    <w:p w:rsidR="004C6741" w:rsidRDefault="00E328C9">
      <w:pPr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>Численность занятых в сфере туризма в 2022 году составила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br/>
        <w:t>25 тыс. человек (в 2021 году - 24,94 тыс. человек).</w:t>
      </w:r>
    </w:p>
    <w:p w:rsidR="004C6741" w:rsidRDefault="004C6741">
      <w:pPr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</w:p>
    <w:p w:rsidR="004C6741" w:rsidRDefault="00E328C9">
      <w:pPr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Государственная поддержка в 2022 году.</w:t>
      </w:r>
    </w:p>
    <w:p w:rsidR="004C6741" w:rsidRDefault="00E328C9">
      <w:pPr>
        <w:pStyle w:val="a1"/>
        <w:ind w:firstLine="709"/>
        <w:contextualSpacing/>
        <w:jc w:val="both"/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kern w:val="0"/>
          <w:sz w:val="28"/>
          <w:szCs w:val="28"/>
          <w:lang w:eastAsia="ru-RU" w:bidi="ar-SA"/>
        </w:rPr>
      </w:pPr>
      <w:r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kern w:val="0"/>
          <w:sz w:val="28"/>
          <w:szCs w:val="28"/>
          <w:lang w:eastAsia="ru-RU" w:bidi="ar-SA"/>
        </w:rPr>
        <w:t>В 2022 году предоставлены субсидии на реализацию 8 проектов развитие внутреннего и въездного туризма на общую сумму 7 063,2 тыс. рублей:</w:t>
      </w:r>
    </w:p>
    <w:p w:rsidR="004C6741" w:rsidRDefault="00E328C9">
      <w:pPr>
        <w:pStyle w:val="a1"/>
        <w:ind w:firstLine="709"/>
        <w:contextualSpacing/>
        <w:jc w:val="both"/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kern w:val="0"/>
          <w:sz w:val="28"/>
          <w:szCs w:val="28"/>
          <w:lang w:eastAsia="ru-RU" w:bidi="ar-SA"/>
        </w:rPr>
      </w:pPr>
      <w:r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kern w:val="0"/>
          <w:sz w:val="28"/>
          <w:szCs w:val="28"/>
          <w:lang w:eastAsia="ru-RU" w:bidi="ar-SA"/>
        </w:rPr>
        <w:t>ООО «ГеоЛес-Групп» (г. Нягань) по проекту «База отдыха «Атмосфера» (некапитальное строение, 2 шатра)» в размере 862 704,00 руб., по проекту «По таежным тропам» в размере 1 000 000,00 руб.;</w:t>
      </w:r>
    </w:p>
    <w:p w:rsidR="004C6741" w:rsidRDefault="00E328C9">
      <w:pPr>
        <w:pStyle w:val="a1"/>
        <w:ind w:firstLine="709"/>
        <w:contextualSpacing/>
        <w:jc w:val="both"/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kern w:val="0"/>
          <w:sz w:val="28"/>
          <w:szCs w:val="28"/>
          <w:lang w:eastAsia="ru-RU" w:bidi="ar-SA"/>
        </w:rPr>
      </w:pPr>
      <w:r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kern w:val="0"/>
          <w:sz w:val="28"/>
          <w:szCs w:val="28"/>
          <w:lang w:eastAsia="ru-RU" w:bidi="ar-SA"/>
        </w:rPr>
        <w:t>ИП Бураеву Александру Валентиновичу (Октябрьский район) по проекту «База отдыха Айтор» в размере 1 000 000,00 руб.;</w:t>
      </w:r>
    </w:p>
    <w:p w:rsidR="004C6741" w:rsidRDefault="00E328C9">
      <w:pPr>
        <w:pStyle w:val="a1"/>
        <w:ind w:firstLine="709"/>
        <w:contextualSpacing/>
        <w:jc w:val="both"/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kern w:val="0"/>
          <w:sz w:val="28"/>
          <w:szCs w:val="28"/>
          <w:lang w:eastAsia="ru-RU" w:bidi="ar-SA"/>
        </w:rPr>
      </w:pPr>
      <w:r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kern w:val="0"/>
          <w:sz w:val="28"/>
          <w:szCs w:val="28"/>
          <w:lang w:eastAsia="ru-RU" w:bidi="ar-SA"/>
        </w:rPr>
        <w:t>ИП Векличу Артему Николаевичу (Ханты-Мансийский район) по проекту «Клевая рыбалка на протоке Санная» в размере 1 000 000,00 руб.;</w:t>
      </w:r>
    </w:p>
    <w:p w:rsidR="004C6741" w:rsidRDefault="00E328C9">
      <w:pPr>
        <w:pStyle w:val="a1"/>
        <w:ind w:firstLine="709"/>
        <w:contextualSpacing/>
        <w:jc w:val="both"/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kern w:val="0"/>
          <w:sz w:val="28"/>
          <w:szCs w:val="28"/>
          <w:lang w:eastAsia="ru-RU" w:bidi="ar-SA"/>
        </w:rPr>
      </w:pPr>
      <w:r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kern w:val="0"/>
          <w:sz w:val="28"/>
          <w:szCs w:val="28"/>
          <w:lang w:eastAsia="ru-RU" w:bidi="ar-SA"/>
        </w:rPr>
        <w:t>ИП Шишонковой Полине Олеговне (Ханты-Мансийский район) по проекту «Оказание экскурсионных услуг с этнографической составляющей» в размере 779 200,00 руб.;</w:t>
      </w:r>
    </w:p>
    <w:p w:rsidR="004C6741" w:rsidRDefault="00E328C9">
      <w:pPr>
        <w:pStyle w:val="a1"/>
        <w:ind w:firstLine="709"/>
        <w:contextualSpacing/>
        <w:jc w:val="both"/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kern w:val="0"/>
          <w:sz w:val="28"/>
          <w:szCs w:val="28"/>
          <w:lang w:eastAsia="ru-RU" w:bidi="ar-SA"/>
        </w:rPr>
      </w:pPr>
      <w:r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kern w:val="0"/>
          <w:sz w:val="28"/>
          <w:szCs w:val="28"/>
          <w:lang w:eastAsia="ru-RU" w:bidi="ar-SA"/>
        </w:rPr>
        <w:t>ИП Калинину Евгению Анатольевичу (Ханты-Мансийский район) по проекту «Дом Мороза (Ищки Ики)» в размере 779 200,00 руб.;</w:t>
      </w:r>
    </w:p>
    <w:p w:rsidR="004C6741" w:rsidRDefault="00E328C9">
      <w:pPr>
        <w:pStyle w:val="a1"/>
        <w:spacing w:after="0"/>
        <w:ind w:firstLine="709"/>
        <w:contextualSpacing/>
        <w:jc w:val="both"/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kern w:val="0"/>
          <w:sz w:val="28"/>
          <w:szCs w:val="28"/>
          <w:lang w:eastAsia="ru-RU" w:bidi="ar-SA"/>
        </w:rPr>
      </w:pPr>
      <w:r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kern w:val="0"/>
          <w:sz w:val="28"/>
          <w:szCs w:val="28"/>
          <w:lang w:eastAsia="ru-RU" w:bidi="ar-SA"/>
        </w:rPr>
        <w:t>ООО «Община «Остяко-Вогульск» (Ханты-Мансийский район) по проекту «Туристическая база «Остяко-Вогульск» в размере 912 000,00 руб.;</w:t>
      </w:r>
    </w:p>
    <w:p w:rsidR="004C6741" w:rsidRDefault="00E328C9">
      <w:pPr>
        <w:ind w:firstLine="709"/>
        <w:jc w:val="both"/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kern w:val="0"/>
          <w:sz w:val="28"/>
          <w:szCs w:val="28"/>
          <w:lang w:eastAsia="ru-RU" w:bidi="ar-SA"/>
        </w:rPr>
      </w:pPr>
      <w:r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kern w:val="0"/>
          <w:sz w:val="28"/>
          <w:szCs w:val="28"/>
          <w:lang w:eastAsia="ru-RU" w:bidi="ar-SA"/>
        </w:rPr>
        <w:t>ООО «Альфа+» (Октябрьский район) по проект «Рыбалка на дальних берегах» в размере 808 800,00 руб.</w:t>
      </w:r>
    </w:p>
    <w:p w:rsidR="004C6741" w:rsidRDefault="004C674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6741" w:rsidRDefault="00E328C9">
      <w:pPr>
        <w:spacing w:line="276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Фонд развития ЮГРЫ: </w:t>
      </w:r>
    </w:p>
    <w:p w:rsidR="004C6741" w:rsidRDefault="00E328C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Одобрено 4 заявки на предоставление займов на общую сумму 221,7 млн руб.: реконструкция «Сити отеля» (Сургут), создание дополнительных номеров отель «Старый Томас» (Когалым), модернизация площадей с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целью расширения дополнительных услуг отеля «Парк Сайд Инн» (Нижневартовск), реновация номерного фонда гостиницы «Тарей» в Ханты-Мансийске.</w:t>
      </w:r>
    </w:p>
    <w:p w:rsidR="004C6741" w:rsidRDefault="00E328C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Предоставлено 3 гранта на общую сумму 7,5 млн рублей (ИП Карасев А.В. – 3,0 млн руб., ИП Фролова М.П. – 2,5 млн руб., ИП Махнева И.Д – 2,0 млн руб.).</w:t>
      </w:r>
    </w:p>
    <w:p w:rsidR="004C6741" w:rsidRDefault="004C6741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C6741" w:rsidRDefault="00E328C9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Государственный механизм реализации мероприятий по развитию туризма </w:t>
      </w:r>
      <w:r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:lang w:eastAsia="en-US" w:bidi="ar-SA"/>
        </w:rPr>
        <w:t>в автономном округе.</w:t>
      </w:r>
    </w:p>
    <w:p w:rsidR="004C6741" w:rsidRDefault="00E328C9">
      <w:pPr>
        <w:spacing w:line="276" w:lineRule="auto"/>
        <w:contextualSpacing/>
        <w:jc w:val="both"/>
      </w:pPr>
      <w:r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spacing w:val="6"/>
          <w:kern w:val="0"/>
          <w:sz w:val="28"/>
          <w:szCs w:val="28"/>
          <w:highlight w:val="white"/>
          <w:lang w:eastAsia="ru-RU" w:bidi="ar-SA"/>
        </w:rPr>
        <w:tab/>
        <w:t xml:space="preserve">В 2021 году Концепция развития внутреннего и въездного туризма в автономном округе синхронизирована со стратегией развития туризма в Российской Федерации на период до 2035 года. </w:t>
      </w:r>
    </w:p>
    <w:p w:rsidR="004C6741" w:rsidRDefault="00E328C9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Концепции учтены изменения, происходящие на внешнем и внутреннем рынках туризма, документ направлен на комплексное развитие внутреннего и въездного туризма в Югре за счет создания условий для дальнейшего развития туристской инфраструктуры, улучшение качества жизни жителей региона путем повышения доступности туристических услуг.</w:t>
      </w:r>
    </w:p>
    <w:p w:rsidR="004C6741" w:rsidRDefault="00E328C9">
      <w:pPr>
        <w:spacing w:line="276" w:lineRule="auto"/>
        <w:contextualSpacing/>
        <w:jc w:val="both"/>
      </w:pPr>
      <w:r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spacing w:val="6"/>
          <w:kern w:val="0"/>
          <w:sz w:val="28"/>
          <w:szCs w:val="28"/>
          <w:highlight w:val="white"/>
          <w:lang w:eastAsia="ru-RU" w:bidi="ar-SA"/>
        </w:rPr>
        <w:tab/>
        <w:t xml:space="preserve">В соответствии с Концепцией к приоритетным туристским территориям региона отнесены </w:t>
      </w:r>
      <w:r>
        <w:rPr>
          <w:rStyle w:val="a7"/>
          <w:rFonts w:ascii="Times New Roman" w:eastAsia="Times New Roman" w:hAnsi="Times New Roman" w:cs="Times New Roman"/>
          <w:b w:val="0"/>
          <w:color w:val="000000"/>
          <w:spacing w:val="6"/>
          <w:kern w:val="0"/>
          <w:sz w:val="28"/>
          <w:szCs w:val="28"/>
          <w:highlight w:val="white"/>
          <w:lang w:eastAsia="ru-RU" w:bidi="ar-SA"/>
        </w:rPr>
        <w:t>Нефтеюганский</w:t>
      </w:r>
      <w:r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spacing w:val="6"/>
          <w:kern w:val="0"/>
          <w:sz w:val="28"/>
          <w:szCs w:val="28"/>
          <w:highlight w:val="white"/>
          <w:lang w:eastAsia="ru-RU" w:bidi="ar-SA"/>
        </w:rPr>
        <w:t>, Березовский,  Нижневартовский, Сургутский, Ханты-Мансийский районы, Когалым, Лангепас, Мегион, Нефтеюганск, Нижневартовск, Сургут,</w:t>
      </w:r>
      <w:r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spacing w:val="6"/>
          <w:kern w:val="0"/>
          <w:sz w:val="28"/>
          <w:szCs w:val="28"/>
          <w:highlight w:val="white"/>
          <w:lang w:eastAsia="ru-RU" w:bidi="ar-SA"/>
        </w:rPr>
        <w:br/>
        <w:t>Ханты-Мансийск.</w:t>
      </w:r>
    </w:p>
    <w:p w:rsidR="00061D54" w:rsidRDefault="00061D54">
      <w:pPr>
        <w:spacing w:line="276" w:lineRule="auto"/>
        <w:ind w:firstLine="709"/>
        <w:contextualSpacing/>
        <w:jc w:val="both"/>
        <w:rPr>
          <w:rStyle w:val="a7"/>
          <w:rFonts w:ascii="Times New Roman" w:eastAsia="Times New Roman" w:hAnsi="Times New Roman" w:cs="Times New Roman"/>
          <w:bCs w:val="0"/>
          <w:color w:val="000000"/>
          <w:spacing w:val="6"/>
          <w:kern w:val="0"/>
          <w:sz w:val="28"/>
          <w:szCs w:val="28"/>
          <w:highlight w:val="white"/>
          <w:lang w:eastAsia="ru-RU" w:bidi="ar-SA"/>
        </w:rPr>
      </w:pPr>
    </w:p>
    <w:p w:rsidR="004C6741" w:rsidRPr="00061D54" w:rsidRDefault="00E328C9">
      <w:pPr>
        <w:spacing w:line="276" w:lineRule="auto"/>
        <w:ind w:firstLine="709"/>
        <w:contextualSpacing/>
        <w:jc w:val="both"/>
        <w:rPr>
          <w:rStyle w:val="a7"/>
          <w:bCs w:val="0"/>
        </w:rPr>
      </w:pPr>
      <w:r w:rsidRPr="00061D54">
        <w:rPr>
          <w:rStyle w:val="a7"/>
          <w:rFonts w:ascii="Times New Roman" w:eastAsia="Times New Roman" w:hAnsi="Times New Roman" w:cs="Times New Roman"/>
          <w:bCs w:val="0"/>
          <w:color w:val="000000"/>
          <w:spacing w:val="6"/>
          <w:kern w:val="0"/>
          <w:sz w:val="28"/>
          <w:szCs w:val="28"/>
          <w:highlight w:val="white"/>
          <w:lang w:eastAsia="ru-RU" w:bidi="ar-SA"/>
        </w:rPr>
        <w:t>Реализация мероприятий в сфере туризма осуществляется в рамках государственных программ Ханты-Мансийского автономного округа – Югры:</w:t>
      </w:r>
    </w:p>
    <w:p w:rsidR="00061D54" w:rsidRDefault="00061D54" w:rsidP="00061D54">
      <w:pPr>
        <w:spacing w:line="276" w:lineRule="auto"/>
        <w:ind w:firstLine="709"/>
        <w:contextualSpacing/>
        <w:jc w:val="both"/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spacing w:val="6"/>
          <w:kern w:val="0"/>
          <w:sz w:val="28"/>
          <w:szCs w:val="28"/>
          <w:highlight w:val="white"/>
          <w:lang w:eastAsia="ru-RU" w:bidi="ar-SA"/>
        </w:rPr>
      </w:pPr>
      <w:r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spacing w:val="6"/>
          <w:kern w:val="0"/>
          <w:sz w:val="28"/>
          <w:szCs w:val="28"/>
          <w:highlight w:val="white"/>
          <w:lang w:eastAsia="ru-RU" w:bidi="ar-SA"/>
        </w:rPr>
        <w:t xml:space="preserve">1. «Развитие промышленности и туризма». Финансирование в 2022 году составляет </w:t>
      </w:r>
      <w:r w:rsidRPr="004F05E9">
        <w:rPr>
          <w:rStyle w:val="a7"/>
          <w:rFonts w:ascii="Times New Roman" w:eastAsia="Times New Roman" w:hAnsi="Times New Roman" w:cs="Times New Roman"/>
          <w:bCs w:val="0"/>
          <w:color w:val="000000"/>
          <w:spacing w:val="6"/>
          <w:kern w:val="0"/>
          <w:sz w:val="28"/>
          <w:szCs w:val="28"/>
          <w:lang w:eastAsia="ru-RU" w:bidi="ar-SA"/>
        </w:rPr>
        <w:t>151 267,7</w:t>
      </w:r>
      <w:r w:rsidRPr="004F05E9"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spacing w:val="6"/>
          <w:kern w:val="0"/>
          <w:sz w:val="28"/>
          <w:szCs w:val="28"/>
          <w:lang w:eastAsia="ru-RU" w:bidi="ar-SA"/>
        </w:rPr>
        <w:t xml:space="preserve"> </w:t>
      </w:r>
      <w:r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spacing w:val="6"/>
          <w:kern w:val="0"/>
          <w:sz w:val="28"/>
          <w:szCs w:val="28"/>
          <w:highlight w:val="white"/>
          <w:lang w:eastAsia="ru-RU" w:bidi="ar-SA"/>
        </w:rPr>
        <w:t>тыс. руб., из них федеральные бюджетные средства – 25 600,6 тыс. руб., региональных бюджетных средств – 125 667,1 тыс. руб., в том числе:</w:t>
      </w:r>
    </w:p>
    <w:p w:rsidR="00061D54" w:rsidRPr="00DD47E0" w:rsidRDefault="00061D54" w:rsidP="00061D54">
      <w:pPr>
        <w:spacing w:line="276" w:lineRule="auto"/>
        <w:ind w:firstLine="709"/>
        <w:contextualSpacing/>
        <w:jc w:val="both"/>
        <w:rPr>
          <w:rStyle w:val="a7"/>
          <w:rFonts w:ascii="Times New Roman" w:hAnsi="Times New Roman" w:cs="Times New Roman"/>
          <w:b w:val="0"/>
          <w:i/>
          <w:color w:val="000000"/>
          <w:spacing w:val="6"/>
          <w:kern w:val="0"/>
          <w:sz w:val="28"/>
          <w:szCs w:val="28"/>
          <w:highlight w:val="white"/>
          <w:lang w:eastAsia="ru-RU" w:bidi="ar-SA"/>
        </w:rPr>
      </w:pPr>
      <w:r>
        <w:rPr>
          <w:rStyle w:val="a7"/>
          <w:rFonts w:ascii="Times New Roman" w:hAnsi="Times New Roman" w:cs="Times New Roman"/>
          <w:b w:val="0"/>
          <w:color w:val="000000"/>
          <w:spacing w:val="6"/>
          <w:kern w:val="0"/>
          <w:sz w:val="28"/>
          <w:szCs w:val="28"/>
          <w:highlight w:val="white"/>
        </w:rPr>
        <w:t xml:space="preserve">- </w:t>
      </w:r>
      <w:r>
        <w:rPr>
          <w:rStyle w:val="a7"/>
          <w:rFonts w:ascii="Times New Roman" w:hAnsi="Times New Roman" w:cs="Times New Roman"/>
          <w:b w:val="0"/>
          <w:color w:val="000000"/>
          <w:spacing w:val="6"/>
          <w:kern w:val="0"/>
          <w:sz w:val="28"/>
          <w:szCs w:val="28"/>
          <w:highlight w:val="white"/>
          <w:lang w:eastAsia="ru-RU" w:bidi="ar-SA"/>
        </w:rPr>
        <w:t xml:space="preserve">Региональный проект </w:t>
      </w:r>
      <w:r>
        <w:rPr>
          <w:rStyle w:val="a7"/>
          <w:rFonts w:ascii="Times New Roman" w:hAnsi="Times New Roman" w:cs="Times New Roman"/>
          <w:b w:val="0"/>
          <w:color w:val="000000"/>
          <w:spacing w:val="6"/>
          <w:kern w:val="0"/>
          <w:sz w:val="28"/>
          <w:szCs w:val="28"/>
          <w:highlight w:val="white"/>
        </w:rPr>
        <w:t>«</w:t>
      </w:r>
      <w:r>
        <w:rPr>
          <w:rStyle w:val="a7"/>
          <w:rFonts w:ascii="Times New Roman" w:hAnsi="Times New Roman" w:cs="Times New Roman"/>
          <w:b w:val="0"/>
          <w:color w:val="000000"/>
          <w:spacing w:val="6"/>
          <w:kern w:val="0"/>
          <w:sz w:val="28"/>
          <w:szCs w:val="28"/>
          <w:highlight w:val="white"/>
          <w:lang w:eastAsia="ru-RU" w:bidi="ar-SA"/>
        </w:rPr>
        <w:t>Повышение доступности туристических продуктов</w:t>
      </w:r>
      <w:r>
        <w:rPr>
          <w:rStyle w:val="a7"/>
          <w:rFonts w:ascii="Times New Roman" w:hAnsi="Times New Roman" w:cs="Times New Roman"/>
          <w:b w:val="0"/>
          <w:color w:val="000000"/>
          <w:spacing w:val="6"/>
          <w:kern w:val="0"/>
          <w:sz w:val="28"/>
          <w:szCs w:val="28"/>
          <w:highlight w:val="white"/>
        </w:rPr>
        <w:t>»</w:t>
      </w:r>
      <w:r>
        <w:rPr>
          <w:rStyle w:val="a7"/>
          <w:rFonts w:ascii="Times New Roman" w:hAnsi="Times New Roman" w:cs="Times New Roman"/>
          <w:b w:val="0"/>
          <w:color w:val="000000"/>
          <w:spacing w:val="6"/>
          <w:kern w:val="0"/>
          <w:sz w:val="28"/>
          <w:szCs w:val="28"/>
          <w:highlight w:val="white"/>
          <w:lang w:eastAsia="ru-RU" w:bidi="ar-SA"/>
        </w:rPr>
        <w:t xml:space="preserve"> </w:t>
      </w:r>
      <w:r>
        <w:rPr>
          <w:rStyle w:val="a7"/>
          <w:rFonts w:ascii="Times New Roman" w:hAnsi="Times New Roman" w:cs="Times New Roman"/>
          <w:b w:val="0"/>
          <w:color w:val="000000"/>
          <w:spacing w:val="6"/>
          <w:kern w:val="0"/>
          <w:sz w:val="28"/>
          <w:szCs w:val="28"/>
          <w:highlight w:val="white"/>
        </w:rPr>
        <w:t>- 65 642,5 тыс. руб</w:t>
      </w:r>
      <w:r w:rsidRPr="00DD47E0">
        <w:rPr>
          <w:rStyle w:val="a7"/>
          <w:rFonts w:ascii="Times New Roman" w:hAnsi="Times New Roman" w:cs="Times New Roman"/>
          <w:b w:val="0"/>
          <w:i/>
          <w:color w:val="000000"/>
          <w:spacing w:val="6"/>
          <w:kern w:val="0"/>
          <w:sz w:val="28"/>
          <w:szCs w:val="28"/>
          <w:highlight w:val="white"/>
        </w:rPr>
        <w:t xml:space="preserve">., из них 25 600,6 тыс. руб. федеральный бюджет, 40 041,9 тыс. руб. </w:t>
      </w:r>
      <w:r w:rsidRPr="00DD47E0">
        <w:rPr>
          <w:rStyle w:val="a7"/>
          <w:rFonts w:ascii="Times New Roman" w:hAnsi="Times New Roman" w:cs="Times New Roman"/>
          <w:b w:val="0"/>
          <w:i/>
          <w:color w:val="000000"/>
          <w:spacing w:val="6"/>
          <w:kern w:val="0"/>
          <w:sz w:val="28"/>
          <w:szCs w:val="28"/>
          <w:highlight w:val="white"/>
          <w:lang w:eastAsia="ru-RU" w:bidi="ar-SA"/>
        </w:rPr>
        <w:t>средства бюджета автономного округа</w:t>
      </w:r>
      <w:r w:rsidRPr="00DD47E0">
        <w:rPr>
          <w:rStyle w:val="a7"/>
          <w:rFonts w:ascii="Times New Roman" w:hAnsi="Times New Roman" w:cs="Times New Roman"/>
          <w:b w:val="0"/>
          <w:i/>
          <w:color w:val="000000"/>
          <w:spacing w:val="6"/>
          <w:kern w:val="0"/>
          <w:sz w:val="28"/>
          <w:szCs w:val="28"/>
          <w:highlight w:val="white"/>
        </w:rPr>
        <w:t>;</w:t>
      </w:r>
    </w:p>
    <w:p w:rsidR="00061D54" w:rsidRDefault="00061D54" w:rsidP="00061D54">
      <w:pPr>
        <w:spacing w:line="276" w:lineRule="auto"/>
        <w:ind w:firstLine="709"/>
        <w:contextualSpacing/>
        <w:jc w:val="both"/>
        <w:rPr>
          <w:rStyle w:val="a7"/>
          <w:rFonts w:ascii="Times New Roman" w:hAnsi="Times New Roman" w:cs="Times New Roman"/>
          <w:b w:val="0"/>
          <w:color w:val="000000"/>
          <w:spacing w:val="6"/>
          <w:kern w:val="0"/>
          <w:sz w:val="28"/>
          <w:szCs w:val="28"/>
          <w:highlight w:val="white"/>
        </w:rPr>
      </w:pPr>
      <w:r>
        <w:rPr>
          <w:rStyle w:val="a7"/>
          <w:rFonts w:ascii="Times New Roman" w:hAnsi="Times New Roman" w:cs="Times New Roman"/>
          <w:b w:val="0"/>
          <w:color w:val="000000"/>
          <w:spacing w:val="6"/>
          <w:kern w:val="0"/>
          <w:sz w:val="28"/>
          <w:szCs w:val="28"/>
          <w:highlight w:val="white"/>
        </w:rPr>
        <w:t>- Поддержка развития внутреннего и въездного туризма – 80 342,2 тыс. руб.</w:t>
      </w:r>
    </w:p>
    <w:p w:rsidR="00061D54" w:rsidRPr="001B0CE9" w:rsidRDefault="00061D54" w:rsidP="00061D54">
      <w:pPr>
        <w:spacing w:line="276" w:lineRule="auto"/>
        <w:ind w:firstLine="709"/>
        <w:contextualSpacing/>
        <w:jc w:val="both"/>
        <w:rPr>
          <w:rStyle w:val="a7"/>
          <w:rFonts w:ascii="Times New Roman" w:hAnsi="Times New Roman" w:cs="Times New Roman"/>
          <w:b w:val="0"/>
          <w:i/>
          <w:color w:val="000000"/>
          <w:spacing w:val="6"/>
          <w:kern w:val="0"/>
          <w:sz w:val="28"/>
          <w:szCs w:val="28"/>
          <w:highlight w:val="white"/>
        </w:rPr>
      </w:pPr>
      <w:r w:rsidRPr="001B0CE9">
        <w:rPr>
          <w:rStyle w:val="a7"/>
          <w:rFonts w:ascii="Times New Roman" w:hAnsi="Times New Roman" w:cs="Times New Roman"/>
          <w:b w:val="0"/>
          <w:i/>
          <w:color w:val="000000"/>
          <w:spacing w:val="6"/>
          <w:kern w:val="0"/>
          <w:sz w:val="28"/>
          <w:szCs w:val="28"/>
          <w:highlight w:val="white"/>
        </w:rPr>
        <w:t xml:space="preserve">69 340,0 тыс. руб. субсидия Фонду развития Югры. </w:t>
      </w:r>
    </w:p>
    <w:p w:rsidR="00061D54" w:rsidRDefault="00061D54" w:rsidP="00061D54">
      <w:pPr>
        <w:spacing w:line="276" w:lineRule="auto"/>
        <w:ind w:firstLine="709"/>
        <w:contextualSpacing/>
        <w:jc w:val="both"/>
        <w:rPr>
          <w:rStyle w:val="a7"/>
          <w:rFonts w:ascii="Times New Roman" w:eastAsia="Times New Roman" w:hAnsi="Times New Roman" w:cs="Times New Roman"/>
          <w:b w:val="0"/>
          <w:color w:val="000000"/>
          <w:spacing w:val="6"/>
          <w:kern w:val="0"/>
          <w:sz w:val="28"/>
          <w:szCs w:val="28"/>
          <w:highlight w:val="white"/>
          <w:lang w:eastAsia="ru-RU" w:bidi="ar-SA"/>
        </w:rPr>
      </w:pPr>
      <w:r w:rsidRPr="001B0CE9">
        <w:rPr>
          <w:rStyle w:val="a7"/>
          <w:rFonts w:ascii="Times New Roman" w:hAnsi="Times New Roman" w:cs="Times New Roman"/>
          <w:b w:val="0"/>
          <w:i/>
          <w:color w:val="000000"/>
          <w:spacing w:val="6"/>
          <w:kern w:val="0"/>
          <w:sz w:val="28"/>
          <w:szCs w:val="28"/>
          <w:highlight w:val="white"/>
        </w:rPr>
        <w:lastRenderedPageBreak/>
        <w:t xml:space="preserve">7 063,2,0 тыс. </w:t>
      </w:r>
      <w:bookmarkStart w:id="1" w:name="__DdeLink__3258_989509362"/>
      <w:r w:rsidRPr="001B0CE9">
        <w:rPr>
          <w:rStyle w:val="a7"/>
          <w:rFonts w:ascii="Times New Roman" w:hAnsi="Times New Roman" w:cs="Times New Roman"/>
          <w:b w:val="0"/>
          <w:i/>
          <w:color w:val="000000"/>
          <w:spacing w:val="6"/>
          <w:kern w:val="0"/>
          <w:sz w:val="28"/>
          <w:szCs w:val="28"/>
          <w:highlight w:val="white"/>
        </w:rPr>
        <w:t>руб.</w:t>
      </w:r>
      <w:bookmarkEnd w:id="1"/>
      <w:r w:rsidRPr="001B0CE9">
        <w:rPr>
          <w:rStyle w:val="a7"/>
          <w:rFonts w:ascii="Times New Roman" w:hAnsi="Times New Roman" w:cs="Times New Roman"/>
          <w:b w:val="0"/>
          <w:i/>
          <w:color w:val="000000"/>
          <w:spacing w:val="6"/>
          <w:kern w:val="0"/>
          <w:sz w:val="28"/>
          <w:szCs w:val="28"/>
          <w:highlight w:val="white"/>
        </w:rPr>
        <w:t xml:space="preserve"> субсидии юридическим и физическим лицам в сфере туризма.</w:t>
      </w:r>
    </w:p>
    <w:p w:rsidR="00061D54" w:rsidRDefault="00061D54" w:rsidP="00061D54">
      <w:pPr>
        <w:spacing w:line="276" w:lineRule="auto"/>
        <w:ind w:firstLine="709"/>
        <w:contextualSpacing/>
        <w:jc w:val="both"/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spacing w:val="6"/>
          <w:kern w:val="0"/>
          <w:sz w:val="28"/>
          <w:szCs w:val="28"/>
          <w:highlight w:val="white"/>
          <w:lang w:eastAsia="ru-RU" w:bidi="ar-SA"/>
        </w:rPr>
      </w:pPr>
      <w:r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spacing w:val="6"/>
          <w:kern w:val="0"/>
          <w:sz w:val="28"/>
          <w:szCs w:val="28"/>
          <w:highlight w:val="white"/>
          <w:lang w:eastAsia="ru-RU" w:bidi="ar-SA"/>
        </w:rPr>
        <w:t xml:space="preserve">- Продвижение внутреннего и въездного туризма - 5 283,0 тыс. руб. региональные бюджетные средства. </w:t>
      </w:r>
    </w:p>
    <w:p w:rsidR="00061D54" w:rsidRDefault="00061D54" w:rsidP="00061D54">
      <w:pPr>
        <w:spacing w:line="276" w:lineRule="auto"/>
        <w:ind w:firstLine="709"/>
        <w:contextualSpacing/>
        <w:jc w:val="both"/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spacing w:val="6"/>
          <w:kern w:val="0"/>
          <w:sz w:val="28"/>
          <w:szCs w:val="28"/>
          <w:highlight w:val="white"/>
          <w:lang w:eastAsia="ru-RU" w:bidi="ar-SA"/>
        </w:rPr>
      </w:pPr>
      <w:r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spacing w:val="6"/>
          <w:kern w:val="0"/>
          <w:sz w:val="28"/>
          <w:szCs w:val="28"/>
          <w:highlight w:val="white"/>
          <w:lang w:eastAsia="ru-RU" w:bidi="ar-SA"/>
        </w:rPr>
        <w:t xml:space="preserve">2. «Развитие гражданского общества». Финансирование в 2022 году составляет 956,2 тыс. руб. </w:t>
      </w:r>
    </w:p>
    <w:p w:rsidR="00061D54" w:rsidRDefault="00061D54" w:rsidP="00061D54">
      <w:pPr>
        <w:spacing w:line="276" w:lineRule="auto"/>
        <w:ind w:firstLine="709"/>
        <w:contextualSpacing/>
        <w:jc w:val="both"/>
        <w:rPr>
          <w:rStyle w:val="a7"/>
          <w:rFonts w:ascii="Times New Roman" w:eastAsia="Times New Roman" w:hAnsi="Times New Roman" w:cs="Times New Roman"/>
          <w:b w:val="0"/>
          <w:color w:val="000000"/>
          <w:spacing w:val="6"/>
          <w:kern w:val="0"/>
          <w:sz w:val="28"/>
          <w:szCs w:val="28"/>
          <w:highlight w:val="white"/>
          <w:lang w:eastAsia="ru-RU" w:bidi="ar-SA"/>
        </w:rPr>
      </w:pPr>
      <w:r>
        <w:rPr>
          <w:rStyle w:val="a7"/>
          <w:rFonts w:ascii="Times New Roman" w:eastAsia="Times New Roman" w:hAnsi="Times New Roman" w:cs="Times New Roman"/>
          <w:b w:val="0"/>
          <w:bCs w:val="0"/>
          <w:i/>
          <w:color w:val="000000"/>
          <w:spacing w:val="6"/>
          <w:kern w:val="0"/>
          <w:sz w:val="28"/>
          <w:szCs w:val="28"/>
          <w:highlight w:val="white"/>
          <w:lang w:eastAsia="ru-RU" w:bidi="ar-SA"/>
        </w:rPr>
        <w:t>У</w:t>
      </w:r>
      <w:r w:rsidRPr="001B0CE9">
        <w:rPr>
          <w:rStyle w:val="a7"/>
          <w:rFonts w:ascii="Times New Roman" w:eastAsia="Times New Roman" w:hAnsi="Times New Roman" w:cs="Times New Roman"/>
          <w:b w:val="0"/>
          <w:bCs w:val="0"/>
          <w:i/>
          <w:color w:val="000000"/>
          <w:spacing w:val="6"/>
          <w:kern w:val="0"/>
          <w:sz w:val="28"/>
          <w:szCs w:val="28"/>
          <w:highlight w:val="white"/>
          <w:lang w:eastAsia="ru-RU" w:bidi="ar-SA"/>
        </w:rPr>
        <w:t>частие в Международной туристической выставке ИНТУРМАРКЕТ-2022</w:t>
      </w:r>
      <w:r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spacing w:val="6"/>
          <w:kern w:val="0"/>
          <w:sz w:val="28"/>
          <w:szCs w:val="28"/>
          <w:highlight w:val="white"/>
          <w:lang w:eastAsia="ru-RU" w:bidi="ar-SA"/>
        </w:rPr>
        <w:t>.</w:t>
      </w:r>
    </w:p>
    <w:p w:rsidR="00061D54" w:rsidRDefault="00061D54" w:rsidP="00061D54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pacing w:val="6"/>
          <w:kern w:val="0"/>
          <w:sz w:val="28"/>
          <w:szCs w:val="28"/>
          <w:highlight w:val="white"/>
          <w:lang w:eastAsia="ru-RU" w:bidi="ar-SA"/>
        </w:rPr>
      </w:pPr>
    </w:p>
    <w:p w:rsidR="00061D54" w:rsidRPr="00061D54" w:rsidRDefault="00061D54" w:rsidP="00E328C9">
      <w:pPr>
        <w:spacing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pacing w:val="6"/>
          <w:kern w:val="0"/>
          <w:sz w:val="28"/>
          <w:szCs w:val="28"/>
          <w:highlight w:val="white"/>
          <w:lang w:eastAsia="ru-RU" w:bidi="ar-SA"/>
        </w:rPr>
      </w:pPr>
      <w:r w:rsidRPr="00061D54">
        <w:rPr>
          <w:rFonts w:ascii="Times New Roman" w:eastAsia="Times New Roman" w:hAnsi="Times New Roman" w:cs="Times New Roman"/>
          <w:b/>
          <w:bCs/>
          <w:color w:val="000000"/>
          <w:spacing w:val="6"/>
          <w:kern w:val="0"/>
          <w:sz w:val="28"/>
          <w:szCs w:val="28"/>
          <w:highlight w:val="white"/>
          <w:lang w:eastAsia="ru-RU" w:bidi="ar-SA"/>
        </w:rPr>
        <w:t>Продвижение автономного округа как туристской дестинации</w:t>
      </w:r>
    </w:p>
    <w:p w:rsidR="00061D54" w:rsidRDefault="00061D54">
      <w:pPr>
        <w:spacing w:line="276" w:lineRule="auto"/>
        <w:contextualSpacing/>
        <w:jc w:val="both"/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spacing w:val="6"/>
          <w:kern w:val="0"/>
          <w:sz w:val="28"/>
          <w:szCs w:val="28"/>
          <w:highlight w:val="white"/>
          <w:lang w:eastAsia="ru-RU" w:bidi="ar-SA"/>
        </w:rPr>
      </w:pPr>
    </w:p>
    <w:p w:rsidR="00061D54" w:rsidRDefault="00061D54" w:rsidP="00061D54">
      <w:pPr>
        <w:pStyle w:val="ConsPlusNormal"/>
        <w:spacing w:line="276" w:lineRule="auto"/>
        <w:ind w:firstLine="709"/>
        <w:contextualSpacing/>
        <w:jc w:val="both"/>
        <w:rPr>
          <w:rStyle w:val="a7"/>
          <w:rFonts w:eastAsia="Times New Roman" w:cs="Times New Roman"/>
          <w:b w:val="0"/>
          <w:color w:val="000000"/>
          <w:kern w:val="0"/>
          <w:sz w:val="28"/>
          <w:szCs w:val="28"/>
          <w:lang w:eastAsia="ru-RU" w:bidi="ar-SA"/>
        </w:rPr>
      </w:pPr>
      <w:r>
        <w:rPr>
          <w:sz w:val="28"/>
          <w:szCs w:val="28"/>
        </w:rPr>
        <w:t xml:space="preserve">Ежегодно </w:t>
      </w:r>
      <w:r>
        <w:rPr>
          <w:rFonts w:eastAsia="Times New Roman" w:cs="Times New Roman"/>
          <w:bCs/>
          <w:sz w:val="28"/>
          <w:szCs w:val="28"/>
        </w:rPr>
        <w:t>делегация региона участвует в международных мероприятиях, направленных на формирование позитивного имиджа автономного округа «</w:t>
      </w:r>
      <w:r>
        <w:rPr>
          <w:rFonts w:eastAsia="Times New Roman" w:cs="Times New Roman"/>
          <w:bCs/>
          <w:sz w:val="28"/>
          <w:szCs w:val="28"/>
          <w:lang w:val="en-US"/>
        </w:rPr>
        <w:t>MITT</w:t>
      </w:r>
      <w:r>
        <w:rPr>
          <w:rFonts w:eastAsia="Times New Roman" w:cs="Times New Roman"/>
          <w:bCs/>
          <w:sz w:val="28"/>
          <w:szCs w:val="28"/>
        </w:rPr>
        <w:t>»,</w:t>
      </w:r>
      <w:r>
        <w:rPr>
          <w:rStyle w:val="a7"/>
          <w:rFonts w:eastAsia="Times New Roman" w:cs="Times New Roman"/>
          <w:b w:val="0"/>
          <w:bCs w:val="0"/>
          <w:sz w:val="28"/>
          <w:szCs w:val="28"/>
        </w:rPr>
        <w:t xml:space="preserve"> «О</w:t>
      </w:r>
      <w:r>
        <w:rPr>
          <w:rStyle w:val="a7"/>
          <w:rFonts w:eastAsia="Times New Roman" w:cs="Times New Roman"/>
          <w:b w:val="0"/>
          <w:bCs w:val="0"/>
          <w:color w:val="000000"/>
          <w:sz w:val="28"/>
          <w:szCs w:val="28"/>
          <w:lang w:bidi="ar-SA"/>
        </w:rPr>
        <w:t>ТДЫХ</w:t>
      </w:r>
      <w:r>
        <w:rPr>
          <w:rStyle w:val="a7"/>
          <w:rFonts w:eastAsia="Times New Roman" w:cs="Times New Roman"/>
          <w:b w:val="0"/>
          <w:bCs w:val="0"/>
          <w:sz w:val="28"/>
          <w:szCs w:val="28"/>
        </w:rPr>
        <w:t xml:space="preserve"> </w:t>
      </w:r>
      <w:r>
        <w:rPr>
          <w:rStyle w:val="a7"/>
          <w:rFonts w:eastAsia="Times New Roman" w:cs="Times New Roman"/>
          <w:b w:val="0"/>
          <w:bCs w:val="0"/>
          <w:sz w:val="28"/>
          <w:szCs w:val="28"/>
          <w:lang w:val="en-US"/>
        </w:rPr>
        <w:t>Leisure</w:t>
      </w:r>
      <w:r>
        <w:rPr>
          <w:rStyle w:val="a7"/>
          <w:rFonts w:eastAsia="Times New Roman" w:cs="Times New Roman"/>
          <w:b w:val="0"/>
          <w:bCs w:val="0"/>
          <w:sz w:val="28"/>
          <w:szCs w:val="28"/>
        </w:rPr>
        <w:t>», «</w:t>
      </w:r>
      <w:r>
        <w:rPr>
          <w:rStyle w:val="a7"/>
          <w:rFonts w:eastAsia="Times New Roman" w:cs="Times New Roman"/>
          <w:b w:val="0"/>
          <w:bCs w:val="0"/>
          <w:color w:val="000000"/>
          <w:sz w:val="28"/>
          <w:szCs w:val="28"/>
        </w:rPr>
        <w:t>EXPOTRAVEL</w:t>
      </w:r>
      <w:r>
        <w:rPr>
          <w:rStyle w:val="a7"/>
          <w:rFonts w:eastAsia="Times New Roman" w:cs="Times New Roman"/>
          <w:b w:val="0"/>
          <w:bCs w:val="0"/>
          <w:sz w:val="28"/>
          <w:szCs w:val="28"/>
        </w:rPr>
        <w:t xml:space="preserve">», </w:t>
      </w:r>
      <w:r>
        <w:rPr>
          <w:rStyle w:val="a7"/>
          <w:rFonts w:eastAsia="Times New Roman" w:cs="Times New Roman"/>
          <w:b w:val="0"/>
          <w:bCs w:val="0"/>
          <w:color w:val="000000"/>
          <w:sz w:val="28"/>
          <w:szCs w:val="28"/>
        </w:rPr>
        <w:t xml:space="preserve">«Большой Урал», </w:t>
      </w:r>
      <w:r>
        <w:rPr>
          <w:rStyle w:val="a7"/>
          <w:rFonts w:eastAsia="Times New Roman" w:cs="Times New Roman"/>
          <w:b w:val="0"/>
          <w:bCs w:val="0"/>
          <w:color w:val="000000"/>
          <w:kern w:val="0"/>
          <w:sz w:val="28"/>
          <w:szCs w:val="28"/>
          <w:lang w:eastAsia="ru-RU" w:bidi="ar-SA"/>
        </w:rPr>
        <w:t>«ЮграТур»</w:t>
      </w:r>
      <w:r>
        <w:rPr>
          <w:rStyle w:val="a7"/>
          <w:rFonts w:eastAsia="Times New Roman" w:cs="Times New Roman"/>
          <w:b w:val="0"/>
          <w:color w:val="000000"/>
          <w:kern w:val="0"/>
          <w:sz w:val="28"/>
          <w:szCs w:val="28"/>
          <w:lang w:eastAsia="ru-RU" w:bidi="ar-SA"/>
        </w:rPr>
        <w:t>.</w:t>
      </w:r>
    </w:p>
    <w:p w:rsidR="00061D54" w:rsidRPr="00CE3416" w:rsidRDefault="00061D54" w:rsidP="00061D54">
      <w:pPr>
        <w:pStyle w:val="ConsPlusNormal"/>
        <w:spacing w:line="276" w:lineRule="auto"/>
        <w:ind w:firstLine="709"/>
        <w:contextualSpacing/>
        <w:jc w:val="both"/>
      </w:pPr>
      <w:r>
        <w:rPr>
          <w:rStyle w:val="a7"/>
          <w:rFonts w:eastAsia="Times New Roman" w:cs="Times New Roman"/>
          <w:b w:val="0"/>
          <w:color w:val="000000"/>
          <w:kern w:val="0"/>
          <w:sz w:val="28"/>
          <w:szCs w:val="28"/>
          <w:lang w:eastAsia="ru-RU" w:bidi="ar-SA"/>
        </w:rPr>
        <w:t xml:space="preserve">Размещений публикаций в аккаунтах социальных сетей </w:t>
      </w:r>
      <w:r>
        <w:rPr>
          <w:rStyle w:val="a7"/>
          <w:rFonts w:eastAsia="Times New Roman" w:cs="Times New Roman"/>
          <w:b w:val="0"/>
          <w:color w:val="000000"/>
          <w:kern w:val="0"/>
          <w:sz w:val="28"/>
          <w:szCs w:val="28"/>
          <w:lang w:val="en-US" w:eastAsia="ru-RU" w:bidi="ar-SA"/>
        </w:rPr>
        <w:t>VisitUgra</w:t>
      </w:r>
      <w:r w:rsidRPr="00CE3416">
        <w:rPr>
          <w:rStyle w:val="a7"/>
          <w:rFonts w:eastAsia="Times New Roman" w:cs="Times New Roman"/>
          <w:b w:val="0"/>
          <w:color w:val="000000"/>
          <w:kern w:val="0"/>
          <w:sz w:val="28"/>
          <w:szCs w:val="28"/>
          <w:lang w:eastAsia="ru-RU" w:bidi="ar-SA"/>
        </w:rPr>
        <w:t xml:space="preserve"> </w:t>
      </w:r>
      <w:r>
        <w:rPr>
          <w:rStyle w:val="a7"/>
          <w:rFonts w:eastAsia="Times New Roman" w:cs="Times New Roman"/>
          <w:b w:val="0"/>
          <w:color w:val="000000"/>
          <w:kern w:val="0"/>
          <w:sz w:val="28"/>
          <w:szCs w:val="28"/>
          <w:lang w:eastAsia="ru-RU" w:bidi="ar-SA"/>
        </w:rPr>
        <w:t>(</w:t>
      </w:r>
      <w:r w:rsidRPr="00CE3416">
        <w:rPr>
          <w:rStyle w:val="a7"/>
          <w:rFonts w:eastAsia="Times New Roman" w:cs="Times New Roman"/>
          <w:b w:val="0"/>
          <w:color w:val="000000"/>
          <w:kern w:val="0"/>
          <w:sz w:val="28"/>
          <w:szCs w:val="28"/>
          <w:lang w:eastAsia="ru-RU" w:bidi="ar-SA"/>
        </w:rPr>
        <w:t xml:space="preserve">868 </w:t>
      </w:r>
      <w:r>
        <w:rPr>
          <w:rStyle w:val="a7"/>
          <w:rFonts w:eastAsia="Times New Roman" w:cs="Times New Roman"/>
          <w:b w:val="0"/>
          <w:color w:val="000000"/>
          <w:kern w:val="0"/>
          <w:sz w:val="28"/>
          <w:szCs w:val="28"/>
          <w:lang w:eastAsia="ru-RU" w:bidi="ar-SA"/>
        </w:rPr>
        <w:t>публикаций).</w:t>
      </w:r>
    </w:p>
    <w:p w:rsidR="00061D54" w:rsidRDefault="00061D54" w:rsidP="00061D54">
      <w:pPr>
        <w:pStyle w:val="ConsPlusNormal"/>
        <w:spacing w:line="276" w:lineRule="auto"/>
        <w:ind w:firstLine="709"/>
        <w:jc w:val="both"/>
        <w:rPr>
          <w:rFonts w:eastAsia="Calibri" w:cs="Times New Roman"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kern w:val="0"/>
          <w:sz w:val="28"/>
          <w:szCs w:val="28"/>
          <w:lang w:eastAsia="en-US" w:bidi="ar-SA"/>
        </w:rPr>
        <w:t>Организована публикация 211 публикаций в профессиональных и популярных туристических изданиях.</w:t>
      </w:r>
    </w:p>
    <w:p w:rsidR="00061D54" w:rsidRDefault="00061D54" w:rsidP="00061D54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>
        <w:rPr>
          <w:rFonts w:eastAsia="Calibri" w:cs="Times New Roman"/>
          <w:kern w:val="0"/>
          <w:sz w:val="28"/>
          <w:szCs w:val="28"/>
          <w:lang w:eastAsia="en-US" w:bidi="ar-SA"/>
        </w:rPr>
        <w:t>Организован пресс-тур для федеральных СМИ (охват 5,1. млн чел).</w:t>
      </w:r>
    </w:p>
    <w:p w:rsidR="00061D54" w:rsidRDefault="00061D54" w:rsidP="00061D54">
      <w:pPr>
        <w:spacing w:line="276" w:lineRule="auto"/>
        <w:ind w:firstLine="709"/>
        <w:contextualSpacing/>
        <w:jc w:val="both"/>
      </w:pPr>
      <w:r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spacing w:val="6"/>
          <w:kern w:val="0"/>
          <w:sz w:val="28"/>
          <w:szCs w:val="28"/>
          <w:highlight w:val="white"/>
          <w:lang w:eastAsia="ru-RU" w:bidi="ar-SA"/>
        </w:rPr>
        <w:t>В рамках формирования цифрового фундамента управления отраслью туризма на территории автономного округа продолжена работа по внедрению информационной системы «Единая цифровая туристическая платформа Югры».</w:t>
      </w:r>
    </w:p>
    <w:p w:rsidR="00061D54" w:rsidRDefault="00061D54" w:rsidP="00061D54">
      <w:pPr>
        <w:pStyle w:val="ConsPlusNormal"/>
        <w:spacing w:line="276" w:lineRule="auto"/>
        <w:ind w:firstLine="709"/>
        <w:contextualSpacing/>
        <w:jc w:val="both"/>
      </w:pPr>
      <w:r>
        <w:rPr>
          <w:rStyle w:val="a7"/>
          <w:rFonts w:eastAsia="Times New Roman" w:cs="Times New Roman"/>
          <w:b w:val="0"/>
          <w:bCs w:val="0"/>
          <w:color w:val="000000"/>
          <w:spacing w:val="6"/>
          <w:kern w:val="0"/>
          <w:sz w:val="28"/>
          <w:szCs w:val="28"/>
          <w:highlight w:val="white"/>
          <w:lang w:eastAsia="ru-RU" w:bidi="ar-SA"/>
        </w:rPr>
        <w:t>На сегодняшний день на Платформе зарегистрировано</w:t>
      </w:r>
      <w:r>
        <w:rPr>
          <w:rStyle w:val="a7"/>
          <w:rFonts w:eastAsia="Times New Roman" w:cs="Times New Roman"/>
          <w:b w:val="0"/>
          <w:bCs w:val="0"/>
          <w:color w:val="000000"/>
          <w:spacing w:val="6"/>
          <w:kern w:val="0"/>
          <w:sz w:val="28"/>
          <w:szCs w:val="28"/>
          <w:highlight w:val="white"/>
          <w:lang w:eastAsia="ru-RU" w:bidi="ar-SA"/>
        </w:rPr>
        <w:br/>
        <w:t>354 пользователя личных кабинетов, 586 мероприятий, 485 объектов туристской инфраструктуры.</w:t>
      </w:r>
    </w:p>
    <w:p w:rsidR="00061D54" w:rsidRDefault="00061D54" w:rsidP="00061D54">
      <w:pPr>
        <w:pStyle w:val="ConsPlusNormal"/>
        <w:spacing w:line="276" w:lineRule="auto"/>
        <w:contextualSpacing/>
        <w:jc w:val="both"/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Style w:val="a7"/>
          <w:rFonts w:eastAsia="Calibri" w:cs="Times New Roman"/>
          <w:b w:val="0"/>
          <w:bCs w:val="0"/>
          <w:color w:val="000000"/>
          <w:spacing w:val="6"/>
          <w:kern w:val="0"/>
          <w:sz w:val="28"/>
          <w:szCs w:val="28"/>
          <w:highlight w:val="white"/>
          <w:lang w:eastAsia="ru-RU" w:bidi="ar-SA"/>
        </w:rPr>
        <w:tab/>
      </w:r>
    </w:p>
    <w:p w:rsidR="00061D54" w:rsidRDefault="00061D54" w:rsidP="00061D54">
      <w:pPr>
        <w:pStyle w:val="ConsPlusNormal"/>
        <w:spacing w:line="276" w:lineRule="auto"/>
        <w:ind w:firstLine="709"/>
        <w:contextualSpacing/>
        <w:jc w:val="both"/>
        <w:rPr>
          <w:rFonts w:eastAsia="Calibri" w:cs="Times New Roman"/>
          <w:b/>
          <w:bCs/>
          <w:color w:val="000000"/>
          <w:spacing w:val="6"/>
          <w:kern w:val="0"/>
          <w:sz w:val="28"/>
          <w:szCs w:val="28"/>
          <w:lang w:eastAsia="ru-RU" w:bidi="ar-SA"/>
        </w:rPr>
      </w:pPr>
      <w:r w:rsidRPr="00061D54">
        <w:rPr>
          <w:rFonts w:eastAsia="Calibri" w:cs="Times New Roman"/>
          <w:b/>
          <w:bCs/>
          <w:color w:val="000000"/>
          <w:spacing w:val="6"/>
          <w:kern w:val="0"/>
          <w:sz w:val="28"/>
          <w:szCs w:val="28"/>
          <w:highlight w:val="white"/>
          <w:lang w:eastAsia="ru-RU" w:bidi="ar-SA"/>
        </w:rPr>
        <w:t>Рекламные кампании с использованием искусственного интеллекта</w:t>
      </w:r>
      <w:r>
        <w:rPr>
          <w:rFonts w:eastAsia="Calibri" w:cs="Times New Roman"/>
          <w:b/>
          <w:bCs/>
          <w:color w:val="000000"/>
          <w:spacing w:val="6"/>
          <w:kern w:val="0"/>
          <w:sz w:val="28"/>
          <w:szCs w:val="28"/>
          <w:lang w:eastAsia="ru-RU" w:bidi="ar-SA"/>
        </w:rPr>
        <w:t>.</w:t>
      </w:r>
    </w:p>
    <w:p w:rsidR="00061D54" w:rsidRDefault="00061D54" w:rsidP="00061D54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2022 году реализована комплексная рекламная кампания с использованием технологий искусственного интеллекта, направленная на продвижение туристских возможностей Югры, по результатам которой:</w:t>
      </w:r>
    </w:p>
    <w:p w:rsidR="00061D54" w:rsidRDefault="00061D54" w:rsidP="00061D54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регион сверх органического охвата приехали 18 666 человек;</w:t>
      </w:r>
    </w:p>
    <w:p w:rsidR="00061D54" w:rsidRDefault="00061D54" w:rsidP="00061D54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создано 7 автомаршрутов;</w:t>
      </w:r>
    </w:p>
    <w:p w:rsidR="00061D54" w:rsidRDefault="00061D54" w:rsidP="00061D54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более 30 </w:t>
      </w:r>
      <w:r w:rsidRPr="00CE3416">
        <w:rPr>
          <w:sz w:val="28"/>
          <w:szCs w:val="28"/>
        </w:rPr>
        <w:t>локаций для посещений с описанием и координатами</w:t>
      </w:r>
      <w:r>
        <w:rPr>
          <w:sz w:val="28"/>
          <w:szCs w:val="28"/>
        </w:rPr>
        <w:t>;</w:t>
      </w:r>
    </w:p>
    <w:p w:rsidR="00061D54" w:rsidRPr="00CE3416" w:rsidRDefault="00061D54" w:rsidP="00061D54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E3416">
        <w:rPr>
          <w:rFonts w:ascii="Circe Bold" w:eastAsia="Open Sans light" w:hAnsi="Circe Bold" w:cs="Open Sans light"/>
          <w:color w:val="000000" w:themeColor="text1"/>
          <w:kern w:val="24"/>
          <w:sz w:val="22"/>
          <w:szCs w:val="22"/>
          <w:lang w:eastAsia="ru-RU" w:bidi="ar-SA"/>
        </w:rPr>
        <w:t xml:space="preserve"> </w:t>
      </w:r>
      <w:r>
        <w:rPr>
          <w:sz w:val="28"/>
          <w:szCs w:val="28"/>
        </w:rPr>
        <w:t>со</w:t>
      </w:r>
      <w:r w:rsidRPr="00CE3416">
        <w:rPr>
          <w:sz w:val="28"/>
          <w:szCs w:val="28"/>
        </w:rPr>
        <w:t>ставлен список объектов и рекомендации по отелям и ресторанам по каждому городу</w:t>
      </w:r>
      <w:r>
        <w:rPr>
          <w:sz w:val="28"/>
          <w:szCs w:val="28"/>
        </w:rPr>
        <w:t>.</w:t>
      </w:r>
    </w:p>
    <w:p w:rsidR="00061D54" w:rsidRDefault="00061D54" w:rsidP="00061D54">
      <w:pPr>
        <w:pStyle w:val="ConsPlusNormal"/>
        <w:spacing w:line="276" w:lineRule="auto"/>
        <w:contextualSpacing/>
        <w:jc w:val="center"/>
        <w:rPr>
          <w:rFonts w:eastAsia="Times New Roman" w:cs="Times New Roman"/>
          <w:b/>
          <w:bCs/>
          <w:color w:val="000000"/>
          <w:sz w:val="28"/>
          <w:szCs w:val="28"/>
        </w:rPr>
      </w:pPr>
      <w:r>
        <w:rPr>
          <w:rFonts w:eastAsia="Times New Roman" w:cs="Times New Roman"/>
          <w:b/>
          <w:bCs/>
          <w:color w:val="000000"/>
          <w:sz w:val="28"/>
          <w:szCs w:val="28"/>
        </w:rPr>
        <w:lastRenderedPageBreak/>
        <w:t>Основные направления государственного регулирования отрасли.</w:t>
      </w:r>
    </w:p>
    <w:p w:rsidR="00061D54" w:rsidRDefault="00061D54" w:rsidP="00061D54">
      <w:pPr>
        <w:pStyle w:val="ConsPlusNormal"/>
        <w:spacing w:line="276" w:lineRule="auto"/>
        <w:contextualSpacing/>
        <w:jc w:val="center"/>
      </w:pPr>
    </w:p>
    <w:p w:rsidR="00061D54" w:rsidRDefault="00061D54" w:rsidP="00061D54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Меры государственной поддержки, предоставляемые Департаментом промышленности Югры:</w:t>
      </w:r>
    </w:p>
    <w:p w:rsidR="00061D54" w:rsidRDefault="00061D54" w:rsidP="00061D54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Субсидии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из бюджета автономного округа на возмещение части затрат на реализацию проектов в сфере внутреннего и въездного туризма (на развитие и совершенствование инфраструктуры объектов туристской индустрии, туристских маршрутов и производство и реализацию туристской сувенирной продукции). </w:t>
      </w:r>
      <w:r>
        <w:rPr>
          <w:rFonts w:ascii="Times New Roman" w:eastAsia="Times New Roman" w:hAnsi="Times New Roman" w:cs="Times New Roman"/>
          <w:sz w:val="28"/>
          <w:szCs w:val="28"/>
        </w:rPr>
        <w:t>Объем запланированных бюджетных ассигнований на предоставление субсидий – 9 100,00 тыс. рублей.</w:t>
      </w:r>
    </w:p>
    <w:p w:rsidR="00061D54" w:rsidRDefault="00061D54" w:rsidP="00061D54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Справочно:</w:t>
      </w:r>
    </w:p>
    <w:p w:rsidR="00061D54" w:rsidRDefault="00061D54" w:rsidP="00061D54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 2022 году предоставлены субсидии на реализацию 8 проектов на общую сумму 7 063,2 тыс. рублей:</w:t>
      </w:r>
    </w:p>
    <w:p w:rsidR="00061D54" w:rsidRDefault="00061D54" w:rsidP="00061D54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Субсидии туроператорам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автономного округа на возмещение не более 50 % затрат на транспортное обслуживание при организации экскурсий и путешествий по территории Югры. Объем запланированных бюджетных средств на предоставление данной субсидии – 50,00 тыс. рублей.</w:t>
      </w:r>
    </w:p>
    <w:p w:rsidR="00061D54" w:rsidRDefault="00061D54" w:rsidP="00061D54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3. Субсидии туроператорам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автономного округа на возмещение части затрат на участие в региональных, международных туристических выставках, ярмарках, конференциях и иных мероприятиях в сфере туризма.</w:t>
      </w:r>
    </w:p>
    <w:p w:rsidR="00061D54" w:rsidRDefault="00061D54" w:rsidP="00061D54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Объем запланированных бюджетных средств на предоставление данной субсидии – 50,00 тыс. рублей.</w:t>
      </w:r>
    </w:p>
    <w:p w:rsidR="00061D54" w:rsidRDefault="00061D54" w:rsidP="00061D54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Субсидии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возмещение части затрат на проведение событийных мероприятий в сфере туризма. Объем запланированных бюджетных средств на предоставление данной субсидии – 100,00 тыс. рублей.</w:t>
      </w:r>
    </w:p>
    <w:p w:rsidR="004C6741" w:rsidRDefault="00E328C9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Меры государственной поддержки, предоставляемые Фондом развития Югры:</w:t>
      </w:r>
    </w:p>
    <w:p w:rsidR="004C6741" w:rsidRDefault="00E328C9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 Предоставление льготных займов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C6741" w:rsidRDefault="00E328C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Ключевые условия: сумма займа от 5 до 300 млн. рублей, займ предоставляется под 1-3% (банковская гарантия), 20% - средства инициатора проекта, 80% - предоставляемые заемные средства, срок займа - 7 лет. </w:t>
      </w:r>
    </w:p>
    <w:p w:rsidR="004C6741" w:rsidRDefault="00E328C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Справочно: </w:t>
      </w:r>
    </w:p>
    <w:p w:rsidR="004C6741" w:rsidRDefault="00E328C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В 2022 году одобрено 4 заявки на предоставление займов на общую сумму 221,7 млн руб.: реконструкция «Сити отеля» (Сургут), создание дополнительных номеров отель «Старый Томас» (Когалым), модернизация площадей с целью расширения дополнительных услуг отеля «Парк Сайд 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lastRenderedPageBreak/>
        <w:t>Инн» (Нижневартовск), реновация номерного фонда гостиницы «Тарей» в Ханты-Мансийске.</w:t>
      </w:r>
    </w:p>
    <w:p w:rsidR="004C6741" w:rsidRDefault="00E328C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2. Предоставление грантов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C6741" w:rsidRDefault="00E328C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2022 году впервые был объявлен конкурс на предоставление грантов. Максимальный размер гранта составил 3 млн руб. (авансированные средства), средства могли быть направлены на создание туристской инфраструктуры, расширение спектра дополнительных услуг. </w:t>
      </w:r>
    </w:p>
    <w:p w:rsidR="004C6741" w:rsidRDefault="00E328C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Ключевые условия: В 2023 году общий объем, направляемых на эти цели средств составит 26,0 млн руб.; условиями конкурса на предоставление грантов будет предусмотрено обязательное софинансирование не менее 20% стоимости проекта, в 2022 году – наличие софинансирования позволяло получить дополнительный бал при рассмотрении заявки. </w:t>
      </w:r>
    </w:p>
    <w:p w:rsidR="004C6741" w:rsidRDefault="00E328C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Справочно: </w:t>
      </w:r>
    </w:p>
    <w:p w:rsidR="004C6741" w:rsidRDefault="00E328C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 2022 году предоставлено 3 гранта на общую сумму 7,5 млн рублей (ИП Карасев А.В. – 3,0 млн руб., ИП Фролова М.П. – 2,5 млн руб., ИП Махнева И.Д – 2,0 млн руб.).</w:t>
      </w:r>
    </w:p>
    <w:p w:rsidR="004C6741" w:rsidRDefault="004C6741">
      <w:pPr>
        <w:spacing w:line="276" w:lineRule="auto"/>
        <w:ind w:left="-142" w:firstLine="851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4C6741" w:rsidRDefault="00E328C9">
      <w:pPr>
        <w:pStyle w:val="ConsPlusNormal"/>
        <w:spacing w:line="276" w:lineRule="auto"/>
        <w:ind w:firstLine="709"/>
        <w:contextualSpacing/>
        <w:jc w:val="both"/>
      </w:pPr>
      <w:r>
        <w:rPr>
          <w:rStyle w:val="a7"/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Государственный социальный заказ в сфере туризма.</w:t>
      </w:r>
    </w:p>
    <w:p w:rsidR="00061D54" w:rsidRDefault="00061D54" w:rsidP="00061D54">
      <w:pPr>
        <w:pStyle w:val="ConsPlusNormal"/>
        <w:spacing w:line="276" w:lineRule="auto"/>
        <w:ind w:firstLine="709"/>
        <w:contextualSpacing/>
        <w:jc w:val="both"/>
      </w:pPr>
      <w:r>
        <w:rPr>
          <w:rStyle w:val="a7"/>
          <w:rFonts w:eastAsia="Calibri" w:cs="Times New Roman"/>
          <w:b w:val="0"/>
          <w:bCs w:val="0"/>
          <w:color w:val="000000"/>
          <w:spacing w:val="6"/>
          <w:kern w:val="0"/>
          <w:sz w:val="28"/>
          <w:szCs w:val="28"/>
          <w:highlight w:val="white"/>
          <w:lang w:eastAsia="ru-RU" w:bidi="ar-SA"/>
        </w:rPr>
        <w:t>Автономный округ стал пилотным по апробации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сфере».</w:t>
      </w:r>
    </w:p>
    <w:p w:rsidR="00061D54" w:rsidRDefault="00061D54" w:rsidP="00061D54">
      <w:pPr>
        <w:pStyle w:val="ConsPlusNormal"/>
        <w:spacing w:line="276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B073A0">
        <w:rPr>
          <w:rFonts w:cs="Times New Roman"/>
          <w:sz w:val="28"/>
          <w:szCs w:val="28"/>
        </w:rPr>
        <w:t>В 2022 году путешествия по региону совершили 5120 школьников</w:t>
      </w:r>
      <w:r>
        <w:rPr>
          <w:rFonts w:cs="Times New Roman"/>
          <w:sz w:val="28"/>
          <w:szCs w:val="28"/>
        </w:rPr>
        <w:t xml:space="preserve"> 5-9 классов</w:t>
      </w:r>
      <w:r w:rsidRPr="00B073A0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 xml:space="preserve"> </w:t>
      </w:r>
      <w:r w:rsidRPr="00B073A0">
        <w:rPr>
          <w:rFonts w:cs="Times New Roman"/>
          <w:sz w:val="28"/>
          <w:szCs w:val="28"/>
        </w:rPr>
        <w:t>Предложено 16 туристических программ по городам региона.</w:t>
      </w:r>
    </w:p>
    <w:p w:rsidR="00061D54" w:rsidRPr="00B073A0" w:rsidRDefault="00061D54" w:rsidP="00061D54">
      <w:pPr>
        <w:pStyle w:val="ConsPlusNormal"/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B073A0">
        <w:rPr>
          <w:rFonts w:cs="Times New Roman"/>
          <w:i/>
          <w:sz w:val="28"/>
          <w:szCs w:val="28"/>
        </w:rPr>
        <w:t>На реализацию государственной услуги из средств федерального бюджета направлено 25 600,6 тыс. рублей из средств бюджета автономного округа – 40 041,9 тыс. рублей.</w:t>
      </w:r>
    </w:p>
    <w:p w:rsidR="00061D54" w:rsidRPr="00B073A0" w:rsidRDefault="00061D54" w:rsidP="00061D54">
      <w:pPr>
        <w:pStyle w:val="ConsPlusNormal"/>
        <w:ind w:firstLine="709"/>
        <w:contextualSpacing/>
        <w:rPr>
          <w:rFonts w:cs="Times New Roman"/>
          <w:sz w:val="28"/>
          <w:szCs w:val="28"/>
        </w:rPr>
      </w:pPr>
      <w:r w:rsidRPr="00B073A0">
        <w:rPr>
          <w:rFonts w:cs="Times New Roman"/>
          <w:sz w:val="28"/>
          <w:szCs w:val="28"/>
        </w:rPr>
        <w:t>В 2023 году совершат путешествие по региону 4899 школьников 5-9 классов</w:t>
      </w:r>
      <w:r>
        <w:rPr>
          <w:rFonts w:cs="Times New Roman"/>
          <w:sz w:val="28"/>
          <w:szCs w:val="28"/>
        </w:rPr>
        <w:t>.</w:t>
      </w:r>
    </w:p>
    <w:p w:rsidR="00061D54" w:rsidRPr="00B073A0" w:rsidRDefault="00061D54" w:rsidP="00061D54">
      <w:pPr>
        <w:pStyle w:val="ConsPlusNormal"/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B073A0">
        <w:rPr>
          <w:rFonts w:cs="Times New Roman"/>
          <w:i/>
          <w:sz w:val="28"/>
          <w:szCs w:val="28"/>
        </w:rPr>
        <w:t>Из федерального бюджета выделено – 24 495,0 тыс. рублей, из средств бюджета автономного округа – 38 312,7 тыс. рублей.</w:t>
      </w:r>
    </w:p>
    <w:p w:rsidR="00061D54" w:rsidRPr="00B073A0" w:rsidRDefault="00061D54" w:rsidP="00061D54">
      <w:pPr>
        <w:pStyle w:val="ConsPlusNormal"/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B073A0">
        <w:rPr>
          <w:rFonts w:cs="Times New Roman"/>
          <w:i/>
          <w:sz w:val="28"/>
          <w:szCs w:val="28"/>
        </w:rPr>
        <w:t>В настоящее время готовится подписание соглашения.</w:t>
      </w:r>
    </w:p>
    <w:p w:rsidR="00061D54" w:rsidRPr="00B073A0" w:rsidRDefault="00061D54" w:rsidP="00061D54">
      <w:pPr>
        <w:pStyle w:val="ConsPlusNormal"/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B073A0">
        <w:rPr>
          <w:rFonts w:cs="Times New Roman"/>
          <w:i/>
          <w:sz w:val="28"/>
          <w:szCs w:val="28"/>
        </w:rPr>
        <w:t>Стоимость социального сертификата составляет 12,82 тыс. рублей, в том числе 5 тыс. рублей из федерального бюджета и 7,82 тыс. рублей из бюджета региона.</w:t>
      </w:r>
    </w:p>
    <w:p w:rsidR="004C6741" w:rsidRDefault="004C6741" w:rsidP="00061D54">
      <w:pPr>
        <w:pStyle w:val="ConsPlusNormal"/>
        <w:spacing w:line="276" w:lineRule="auto"/>
        <w:ind w:firstLine="709"/>
        <w:contextualSpacing/>
        <w:jc w:val="both"/>
      </w:pPr>
    </w:p>
    <w:sectPr w:rsidR="004C6741">
      <w:headerReference w:type="default" r:id="rId7"/>
      <w:pgSz w:w="11906" w:h="16838"/>
      <w:pgMar w:top="1391" w:right="1276" w:bottom="1134" w:left="1559" w:header="851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E99" w:rsidRDefault="00676E99">
      <w:r>
        <w:separator/>
      </w:r>
    </w:p>
  </w:endnote>
  <w:endnote w:type="continuationSeparator" w:id="0">
    <w:p w:rsidR="00676E99" w:rsidRDefault="00676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irce Bold">
    <w:altName w:val="Times New Roman"/>
    <w:panose1 w:val="00000000000000000000"/>
    <w:charset w:val="00"/>
    <w:family w:val="roman"/>
    <w:notTrueType/>
    <w:pitch w:val="default"/>
  </w:font>
  <w:font w:name="Open Sans light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E99" w:rsidRDefault="00676E99">
      <w:r>
        <w:separator/>
      </w:r>
    </w:p>
  </w:footnote>
  <w:footnote w:type="continuationSeparator" w:id="0">
    <w:p w:rsidR="00676E99" w:rsidRDefault="00676E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3919161"/>
      <w:docPartObj>
        <w:docPartGallery w:val="Page Numbers (Top of Page)"/>
        <w:docPartUnique/>
      </w:docPartObj>
    </w:sdtPr>
    <w:sdtEndPr/>
    <w:sdtContent>
      <w:p w:rsidR="004C6741" w:rsidRDefault="00E328C9">
        <w:pPr>
          <w:pStyle w:val="af5"/>
          <w:jc w:val="center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4F30FF">
          <w:rPr>
            <w:rFonts w:ascii="Times New Roman" w:hAnsi="Times New Roman" w:cs="Times New Roman"/>
            <w:noProof/>
          </w:rPr>
          <w:t>4</w:t>
        </w:r>
        <w:r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0664E"/>
    <w:multiLevelType w:val="multilevel"/>
    <w:tmpl w:val="32C890BC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741"/>
    <w:rsid w:val="00061D54"/>
    <w:rsid w:val="004C6741"/>
    <w:rsid w:val="004F30FF"/>
    <w:rsid w:val="00676E99"/>
    <w:rsid w:val="006A637D"/>
    <w:rsid w:val="00CB5524"/>
    <w:rsid w:val="00E3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680D13-744B-4E8E-A615-00562BCB2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1">
    <w:name w:val="heading 1"/>
    <w:basedOn w:val="a0"/>
    <w:next w:val="a1"/>
    <w:qFormat/>
    <w:pPr>
      <w:numPr>
        <w:numId w:val="1"/>
      </w:num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-">
    <w:name w:val="Интернет-ссылка"/>
    <w:basedOn w:val="a2"/>
    <w:uiPriority w:val="99"/>
    <w:unhideWhenUsed/>
    <w:rsid w:val="00AF3DAC"/>
    <w:rPr>
      <w:color w:val="0000FF" w:themeColor="hyperlink"/>
      <w:u w:val="single"/>
    </w:rPr>
  </w:style>
  <w:style w:type="character" w:customStyle="1" w:styleId="a5">
    <w:name w:val="Основной текст Знак"/>
    <w:basedOn w:val="a2"/>
    <w:qFormat/>
    <w:rsid w:val="00AF3DAC"/>
    <w:rPr>
      <w:rFonts w:asciiTheme="minorHAnsi" w:hAnsiTheme="minorHAnsi" w:cstheme="minorBidi"/>
      <w:sz w:val="22"/>
      <w:szCs w:val="22"/>
    </w:rPr>
  </w:style>
  <w:style w:type="character" w:customStyle="1" w:styleId="a6">
    <w:name w:val="Верхний колонтитул Знак"/>
    <w:basedOn w:val="a2"/>
    <w:uiPriority w:val="99"/>
    <w:qFormat/>
    <w:rsid w:val="00AF3DAC"/>
    <w:rPr>
      <w:rFonts w:asciiTheme="minorHAnsi" w:hAnsiTheme="minorHAnsi" w:cstheme="minorBidi"/>
      <w:sz w:val="22"/>
      <w:szCs w:val="22"/>
    </w:rPr>
  </w:style>
  <w:style w:type="character" w:customStyle="1" w:styleId="a7">
    <w:name w:val="Выделение жирным"/>
    <w:qFormat/>
    <w:rsid w:val="00AF3DAC"/>
    <w:rPr>
      <w:b/>
      <w:bCs/>
    </w:rPr>
  </w:style>
  <w:style w:type="character" w:customStyle="1" w:styleId="a8">
    <w:name w:val="Символ нумерации"/>
    <w:qFormat/>
  </w:style>
  <w:style w:type="character" w:customStyle="1" w:styleId="a9">
    <w:name w:val="Символ сноски"/>
    <w:qFormat/>
  </w:style>
  <w:style w:type="character" w:customStyle="1" w:styleId="aa">
    <w:name w:val="Привязка сноски"/>
    <w:rPr>
      <w:vertAlign w:val="superscript"/>
    </w:rPr>
  </w:style>
  <w:style w:type="character" w:customStyle="1" w:styleId="ab">
    <w:name w:val="Привязка концевой сноски"/>
    <w:rPr>
      <w:vertAlign w:val="superscript"/>
    </w:rPr>
  </w:style>
  <w:style w:type="character" w:customStyle="1" w:styleId="ac">
    <w:name w:val="Символ концевой сноски"/>
    <w:qFormat/>
  </w:style>
  <w:style w:type="character" w:customStyle="1" w:styleId="ad">
    <w:name w:val="Посещённая гиперссылка"/>
    <w:rPr>
      <w:color w:val="800000"/>
      <w:u w:val="single"/>
    </w:rPr>
  </w:style>
  <w:style w:type="character" w:customStyle="1" w:styleId="ae">
    <w:name w:val="Маркеры списка"/>
    <w:qFormat/>
    <w:rPr>
      <w:rFonts w:ascii="OpenSymbol" w:eastAsia="OpenSymbol" w:hAnsi="OpenSymbol" w:cs="OpenSymbol"/>
    </w:rPr>
  </w:style>
  <w:style w:type="character" w:customStyle="1" w:styleId="af">
    <w:name w:val="Нижний колонтитул Знак"/>
    <w:basedOn w:val="a2"/>
    <w:uiPriority w:val="99"/>
    <w:qFormat/>
    <w:rsid w:val="00BD04D2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1">
    <w:name w:val="Body Text"/>
    <w:basedOn w:val="a"/>
    <w:rsid w:val="00AF3DAC"/>
    <w:pPr>
      <w:spacing w:after="140"/>
    </w:pPr>
  </w:style>
  <w:style w:type="paragraph" w:styleId="af0">
    <w:name w:val="List"/>
    <w:basedOn w:val="a1"/>
    <w:rPr>
      <w:rFonts w:cs="Lucida Sans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f2">
    <w:name w:val="index heading"/>
    <w:basedOn w:val="a"/>
    <w:qFormat/>
    <w:pPr>
      <w:suppressLineNumbers/>
    </w:pPr>
    <w:rPr>
      <w:rFonts w:cs="Lucida Sans"/>
    </w:rPr>
  </w:style>
  <w:style w:type="paragraph" w:customStyle="1" w:styleId="10">
    <w:name w:val="Основной текст1"/>
    <w:basedOn w:val="a"/>
    <w:qFormat/>
    <w:rsid w:val="00AF3DAC"/>
    <w:pPr>
      <w:widowControl w:val="0"/>
      <w:shd w:val="clear" w:color="auto" w:fill="FFFFFF"/>
      <w:spacing w:after="60"/>
      <w:jc w:val="right"/>
    </w:pPr>
    <w:rPr>
      <w:rFonts w:ascii="Times New Roman" w:eastAsia="Times New Roman" w:hAnsi="Times New Roman" w:cs="Times New Roman"/>
      <w:spacing w:val="5"/>
      <w:sz w:val="23"/>
      <w:szCs w:val="23"/>
    </w:rPr>
  </w:style>
  <w:style w:type="paragraph" w:customStyle="1" w:styleId="af3">
    <w:name w:val="Верхний и нижний колонтитулы"/>
    <w:basedOn w:val="a"/>
    <w:qFormat/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rsid w:val="00AF3DAC"/>
    <w:pPr>
      <w:tabs>
        <w:tab w:val="center" w:pos="4677"/>
        <w:tab w:val="right" w:pos="9355"/>
      </w:tabs>
    </w:pPr>
  </w:style>
  <w:style w:type="paragraph" w:styleId="af6">
    <w:name w:val="List Paragraph"/>
    <w:basedOn w:val="a"/>
    <w:uiPriority w:val="34"/>
    <w:qFormat/>
    <w:rsid w:val="00AF3DAC"/>
    <w:pPr>
      <w:spacing w:after="200"/>
      <w:ind w:left="720"/>
      <w:contextualSpacing/>
    </w:pPr>
  </w:style>
  <w:style w:type="paragraph" w:customStyle="1" w:styleId="af7">
    <w:name w:val="Верхний колонтитул слева"/>
    <w:basedOn w:val="a"/>
    <w:qFormat/>
    <w:pPr>
      <w:suppressLineNumbers/>
      <w:tabs>
        <w:tab w:val="center" w:pos="4535"/>
        <w:tab w:val="right" w:pos="9071"/>
      </w:tabs>
    </w:pPr>
  </w:style>
  <w:style w:type="paragraph" w:styleId="af8">
    <w:name w:val="footnote text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qFormat/>
    <w:pPr>
      <w:suppressAutoHyphens/>
    </w:pPr>
    <w:rPr>
      <w:rFonts w:eastAsia="Arial" w:cs="Courier New"/>
      <w:kern w:val="2"/>
      <w:sz w:val="24"/>
      <w:szCs w:val="24"/>
      <w:lang w:eastAsia="zh-CN" w:bidi="hi-IN"/>
    </w:rPr>
  </w:style>
  <w:style w:type="paragraph" w:customStyle="1" w:styleId="af9">
    <w:name w:val="Текст в заданном формате"/>
    <w:basedOn w:val="a"/>
    <w:qFormat/>
    <w:rPr>
      <w:rFonts w:ascii="Liberation Mono" w:eastAsia="Liberation Mono" w:hAnsi="Liberation Mono" w:cs="Liberation Mono"/>
      <w:sz w:val="20"/>
      <w:szCs w:val="20"/>
    </w:rPr>
  </w:style>
  <w:style w:type="paragraph" w:styleId="afa">
    <w:name w:val="No Spacing"/>
    <w:qFormat/>
    <w:pPr>
      <w:suppressAutoHyphens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afb">
    <w:name w:val="Содержимое таблицы"/>
    <w:basedOn w:val="a"/>
    <w:qFormat/>
    <w:pPr>
      <w:widowControl w:val="0"/>
      <w:suppressLineNumbers/>
    </w:pPr>
  </w:style>
  <w:style w:type="paragraph" w:customStyle="1" w:styleId="Standard">
    <w:name w:val="Standard"/>
    <w:qFormat/>
    <w:pPr>
      <w:suppressAutoHyphens/>
      <w:textAlignment w:val="baseline"/>
    </w:pPr>
    <w:rPr>
      <w:sz w:val="22"/>
    </w:rPr>
  </w:style>
  <w:style w:type="paragraph" w:styleId="afc">
    <w:name w:val="Normal (Web)"/>
    <w:basedOn w:val="a"/>
    <w:qFormat/>
    <w:pPr>
      <w:spacing w:beforeAutospacing="1" w:afterAutospacing="1"/>
    </w:pPr>
    <w:rPr>
      <w:rFonts w:ascii="Times New Roman" w:eastAsia="Times New Roman" w:hAnsi="Times New Roman" w:cs="Times New Roman"/>
      <w:lang w:eastAsia="ru-RU"/>
    </w:rPr>
  </w:style>
  <w:style w:type="paragraph" w:styleId="afd">
    <w:name w:val="footer"/>
    <w:basedOn w:val="a"/>
    <w:uiPriority w:val="99"/>
    <w:unhideWhenUsed/>
    <w:rsid w:val="00BD04D2"/>
    <w:pPr>
      <w:tabs>
        <w:tab w:val="center" w:pos="4677"/>
        <w:tab w:val="right" w:pos="9355"/>
      </w:tabs>
    </w:pPr>
    <w:rPr>
      <w:rFonts w:cs="Mangal"/>
      <w:szCs w:val="21"/>
    </w:rPr>
  </w:style>
  <w:style w:type="numbering" w:customStyle="1" w:styleId="123">
    <w:name w:val="Нумерованный 123"/>
    <w:qFormat/>
  </w:style>
  <w:style w:type="numbering" w:customStyle="1" w:styleId="11">
    <w:name w:val="Маркированный список 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7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1385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Слухаева Кристина Дмитриевна</dc:creator>
  <cp:lastModifiedBy>Фирсова Екатерина Александровна</cp:lastModifiedBy>
  <cp:revision>2</cp:revision>
  <dcterms:created xsi:type="dcterms:W3CDTF">2023-03-23T05:37:00Z</dcterms:created>
  <dcterms:modified xsi:type="dcterms:W3CDTF">2023-03-23T05:37:00Z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